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427895" w:rsidRDefault="00427895" w:rsidP="00AD4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a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427895">
              <w:tc>
                <w:tcPr>
                  <w:tcW w:w="4380" w:type="dxa"/>
                </w:tcPr>
                <w:p w:rsidR="00427895" w:rsidRDefault="00AD452A" w:rsidP="00AD45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Inkluklub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5.5</w:t>
            </w:r>
            <w:r>
              <w:rPr>
                <w:color w:val="000000"/>
              </w:rPr>
              <w:t>.202</w:t>
            </w:r>
            <w:r>
              <w:t>1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427895">
        <w:tc>
          <w:tcPr>
            <w:tcW w:w="460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http://waldorfskaskola.sk/clanok/2018/inkluklub</w:t>
            </w:r>
          </w:p>
        </w:tc>
      </w:tr>
    </w:tbl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b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427895">
        <w:trPr>
          <w:trHeight w:val="1827"/>
        </w:trPr>
        <w:tc>
          <w:tcPr>
            <w:tcW w:w="926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427895" w:rsidRDefault="00AD452A" w:rsidP="00AD452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Inklukultúra. Tvoríme prostredie a materiály na podporu inklúzie žiakov - praktické činnosti priamo v klube pre triedy a predmety spolu s edufriends na základe ich potrieb a podnetov.</w:t>
            </w:r>
          </w:p>
          <w:p w:rsidR="00427895" w:rsidRDefault="00427895" w:rsidP="00AD452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427895" w:rsidP="00AD452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427895" w:rsidP="00AD452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7895">
        <w:trPr>
          <w:trHeight w:val="53"/>
        </w:trPr>
        <w:tc>
          <w:tcPr>
            <w:tcW w:w="926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1/ úvodné privítanie, pozbieranie tém na tento klub, privítanie prítomných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2/ zvedomenie si tém</w:t>
            </w:r>
            <w:r>
              <w:rPr>
                <w:rFonts w:ascii="Times New Roman" w:eastAsia="Times New Roman" w:hAnsi="Times New Roman" w:cs="Times New Roman"/>
                <w:i/>
              </w:rPr>
              <w:t>y stretnutia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hlavná téma: </w:t>
            </w:r>
            <w:r>
              <w:rPr>
                <w:rFonts w:ascii="Times New Roman" w:eastAsia="Times New Roman" w:hAnsi="Times New Roman" w:cs="Times New Roman"/>
              </w:rPr>
              <w:t>Tvoríme prostredie a materiály na podporu inklúzie žiakov - praktické činnosti priamo v klube pre triedy a predmety spolu s edufrien</w:t>
            </w:r>
            <w:r>
              <w:rPr>
                <w:rFonts w:ascii="Times New Roman" w:eastAsia="Times New Roman" w:hAnsi="Times New Roman" w:cs="Times New Roman"/>
              </w:rPr>
              <w:t>ds na základe ich potrieb a podnetov.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diskusia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5/ štúdium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pravidelné štúdium liečebnej pedagogiky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Zhrnutie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stretnutí sme sa zamerali hlavne na žiakov, ktorí vykazujú, môžu vykazovať prejavy ADHD. Keďže sa tento syndróm rozširuje medzi žiakmi každ</w:t>
            </w:r>
            <w:r>
              <w:rPr>
                <w:rFonts w:ascii="Times New Roman" w:eastAsia="Times New Roman" w:hAnsi="Times New Roman" w:cs="Times New Roman"/>
              </w:rPr>
              <w:t xml:space="preserve">ým rokom, je dôležité vedieť, ako ho podchytiť, čo od týchto týchto žiakov očakávať, ako správne reagovať v kontexte jednotlivca a jeho potrieb,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vyučovacieho procesu, ale aj triedy ako sociálnej skupiny. 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poslednej časti stretnutia sme sa rozprávali aj o</w:t>
            </w:r>
            <w:r>
              <w:rPr>
                <w:rFonts w:ascii="Times New Roman" w:eastAsia="Times New Roman" w:hAnsi="Times New Roman" w:cs="Times New Roman"/>
              </w:rPr>
              <w:t xml:space="preserve"> možnostiach práce pri žiakoch s inými oslabeniami. 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AD452A" w:rsidP="00AD4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čo je syndróm ADHD</w:t>
            </w:r>
          </w:p>
          <w:p w:rsidR="00427895" w:rsidRDefault="00AD452A" w:rsidP="00AD4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čo robiť pre dieťa s ADHD a s kolektívom s dieťaťom s ADHD a inými oslabeniami - konkrétne činnosti, možnosti fungovania</w:t>
            </w:r>
          </w:p>
          <w:p w:rsidR="00427895" w:rsidRDefault="00AD452A" w:rsidP="00AD4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empaticko-komunikačný tréning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začiatku sme si vysvetlili, čo je to ADHD.Znakmi syndrómu ADHD sú problémy s pozornosťou, impulzivita, motorický nepokoj, neschopnosť zachytiť hranice, neporiadok (ako vnútorný, tak vo veciach) a oslabené sociálne zručnosti. Základnou esenciou je chaos </w:t>
            </w:r>
            <w:r>
              <w:rPr>
                <w:rFonts w:ascii="Times New Roman" w:eastAsia="Times New Roman" w:hAnsi="Times New Roman" w:cs="Times New Roman"/>
              </w:rPr>
              <w:t xml:space="preserve">- v prostredí, vo vnútri dieťaťa, vo výchove, v režime dňa. Je veľmi dôležité hľadať to, čo bud dieťaťu a jeho okoliu najviac vyhovovať, aby bol ten chaos čo najviac odnímaný zo života. 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krátkosti sme si opísali iné ťažkosti, ktoré môžu mať podobné preja</w:t>
            </w:r>
            <w:r>
              <w:rPr>
                <w:rFonts w:ascii="Times New Roman" w:eastAsia="Times New Roman" w:hAnsi="Times New Roman" w:cs="Times New Roman"/>
              </w:rPr>
              <w:t xml:space="preserve">vy, ako ADHD. Nimi sú napr. poruchy učenia, Aspergerov syndróm, trauma, obsedantno- kompulzívna porucha, FAS, probémy s trávením, zmyslové oslabenia, chronický stres, poruchy správania, či fyziologické zmeny a hormonálna nerovnováha. 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Plynulo sme prešli d</w:t>
            </w:r>
            <w:r>
              <w:rPr>
                <w:rFonts w:ascii="Times New Roman" w:eastAsia="Times New Roman" w:hAnsi="Times New Roman" w:cs="Times New Roman"/>
              </w:rPr>
              <w:t xml:space="preserve">o diskusie o tom, ako je možné prispôsobiť priebeh a režim procesu v škole, aby to bolo na prospech ako detí s oslabením, tak pre celý kolektív. 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pravidelné sociálne hry - ideálne v rámci poobedného klubu, kde môže klubistka pracovať na utužovanie konkrétnych vzťahov a hierarchie triedy (napr. hry Na šéfa, Mám rád, Elektrina, Pozitívne odkazy, Stratený kamarát, sebareflexia…)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rámci jednotlivých pr</w:t>
            </w:r>
            <w:r>
              <w:rPr>
                <w:rFonts w:ascii="Times New Roman" w:eastAsia="Times New Roman" w:hAnsi="Times New Roman" w:cs="Times New Roman"/>
              </w:rPr>
              <w:t xml:space="preserve">edmetov dostatočná dynamika edukačného procesu - striedanie pokojných aktivít s pohybovými, či náročnejšie s oddychovými (začať rýchlou časovo nenáročnou kontrolou, čo žiaci ovládajú, pokračovať kooperatívnou skupinovou aktivitou pri riešení novej učebnej </w:t>
            </w:r>
            <w:r>
              <w:rPr>
                <w:rFonts w:ascii="Times New Roman" w:eastAsia="Times New Roman" w:hAnsi="Times New Roman" w:cs="Times New Roman"/>
              </w:rPr>
              <w:t xml:space="preserve">látky, samostatná práca končiaca diskusiou, pohybová činnosť na zopakovanie si preberaného učiva a prepojenie s už naučeným…) 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kooperačné aktivity, zminimalizovať zdĺhavú samostatnú prácu, ktorá si vyžaduje mnoho sústredenia a pozornosti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rituály, ktoré v i</w:t>
            </w:r>
            <w:r>
              <w:rPr>
                <w:rFonts w:ascii="Times New Roman" w:eastAsia="Times New Roman" w:hAnsi="Times New Roman" w:cs="Times New Roman"/>
              </w:rPr>
              <w:t>deálnom prípade učitelia jednotlivých predmetov v jednej triede medzi sebou konzultujú a kooperujú na nastavení najlepšieho rozdelenia vyučovacích hodín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relaxačný kútik na upokojenie sa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možnosť vyjadriť svoje pocity, či nekomfortnosť so situáciou</w:t>
            </w:r>
          </w:p>
          <w:p w:rsidR="00427895" w:rsidRDefault="00AD452A" w:rsidP="00AD4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neustála </w:t>
            </w:r>
            <w:r>
              <w:rPr>
                <w:rFonts w:ascii="Times New Roman" w:eastAsia="Times New Roman" w:hAnsi="Times New Roman" w:cs="Times New Roman"/>
              </w:rPr>
              <w:t>spätná kontrola hravým spôsobom - uvedomovať si, že niektorí žiaci by nemali vnímať, že sú kontrolovaní viac, ako ostatní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Záverom stretnutia sme si popísali niektorých žiakov, snažili sme sa dekódovať ich prežívanie a problémy ako vnútorného prežívania, tak aj vonkajšieho pôsobenia na koletív, ako sa ku nim postaviť. Ematicko-komunikačnou metódou sme si predstavili, ako títo </w:t>
            </w:r>
            <w:r>
              <w:rPr>
                <w:rFonts w:ascii="Times New Roman" w:eastAsia="Times New Roman" w:hAnsi="Times New Roman" w:cs="Times New Roman"/>
              </w:rPr>
              <w:t xml:space="preserve">žiaci problémové chvíle prežívajú a rozbehli sme diskusiu o tom, čo by im najviac pomohlo, aby sa dokázali vrátiť do procesu a mali uspokojené svoje potreby. Ako čítať podnety, ktoré dostávajú, ich vnútrom. 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Takýmto spôsobom sme pracovali na stretnutí s tr</w:t>
            </w:r>
            <w:r>
              <w:rPr>
                <w:rFonts w:ascii="Times New Roman" w:eastAsia="Times New Roman" w:hAnsi="Times New Roman" w:cs="Times New Roman"/>
              </w:rPr>
              <w:t xml:space="preserve">oma žiakmi. Zisťovali, čo by nám pomohlo, aby sme sa cítili komfortnejšie v problémovej situácii. Po jednotlivých názoroch a krátkom zamyslení, sme identifikovala tie kroky, ktoré skúsia kolegovia urobiť ako prvé vo svojom vyučovaní, či v klube. 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Nasledujúce stretnutie bude 19</w:t>
            </w:r>
            <w:r>
              <w:rPr>
                <w:rFonts w:ascii="Times New Roman" w:eastAsia="Times New Roman" w:hAnsi="Times New Roman" w:cs="Times New Roman"/>
              </w:rPr>
              <w:t>.5.2021 a tém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ou bude aj naďalej inklukultúra školy. </w:t>
            </w: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7895">
        <w:trPr>
          <w:trHeight w:val="2434"/>
        </w:trPr>
        <w:tc>
          <w:tcPr>
            <w:tcW w:w="9266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stretnutí sme si prehĺbili vedomie o žiakoch so syndrómom ADHD, aké majú vnútorné prežívanie, čo všetko môže pôsobiť na nich z okolia negatívne, ako rozpoznať ADHD od iných oslabení. 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Opísali sme si možnosti zmien priebehu vyučovania a klubu pre potreby</w:t>
            </w:r>
            <w:r>
              <w:rPr>
                <w:rFonts w:ascii="Times New Roman" w:eastAsia="Times New Roman" w:hAnsi="Times New Roman" w:cs="Times New Roman"/>
              </w:rPr>
              <w:t xml:space="preserve"> žiakov s oslabeniami a pokračovali sme v intervízii žiakov. </w:t>
            </w:r>
          </w:p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Kolegovia, ktorí zaznamenali ťažkosti, budú v dostatočnom časovom odstupe zdieľať, aké výsledky prinesú nastavené zmeny. </w:t>
            </w:r>
          </w:p>
        </w:tc>
      </w:tr>
    </w:tbl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27895">
        <w:tc>
          <w:tcPr>
            <w:tcW w:w="4077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427895">
        <w:tc>
          <w:tcPr>
            <w:tcW w:w="4077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5.5.2021</w:t>
            </w:r>
          </w:p>
        </w:tc>
      </w:tr>
      <w:tr w:rsidR="00427895">
        <w:tc>
          <w:tcPr>
            <w:tcW w:w="4077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427895">
        <w:tc>
          <w:tcPr>
            <w:tcW w:w="4077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427895">
        <w:tc>
          <w:tcPr>
            <w:tcW w:w="4077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6.5.2021</w:t>
            </w:r>
          </w:p>
        </w:tc>
      </w:tr>
      <w:tr w:rsidR="00427895">
        <w:tc>
          <w:tcPr>
            <w:tcW w:w="4077" w:type="dxa"/>
          </w:tcPr>
          <w:p w:rsidR="00427895" w:rsidRDefault="00AD452A" w:rsidP="00AD45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</w:t>
      </w:r>
      <w:r>
        <w:rPr>
          <w:rFonts w:ascii="Times New Roman" w:eastAsia="Times New Roman" w:hAnsi="Times New Roman" w:cs="Times New Roman"/>
          <w:color w:val="000000"/>
        </w:rPr>
        <w:t>skytnutí nenávratného finančného príspevku (ďalej len "zmluva o NFP")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projektu -  uvedie sa úplný názov projektu podľa zmluvy NFP</w:t>
      </w:r>
      <w:r>
        <w:rPr>
          <w:rFonts w:ascii="Times New Roman" w:eastAsia="Times New Roman" w:hAnsi="Times New Roman" w:cs="Times New Roman"/>
          <w:color w:val="000000"/>
        </w:rPr>
        <w:t xml:space="preserve">, nepoužíva sa skrátený názov projektu 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</w:t>
      </w:r>
      <w:r>
        <w:rPr>
          <w:rFonts w:ascii="Times New Roman" w:eastAsia="Times New Roman" w:hAnsi="Times New Roman" w:cs="Times New Roman"/>
          <w:color w:val="000000"/>
        </w:rPr>
        <w:t>y dátum stretnutia daného klubu učiteľov, ktorý je totožný s dátumom na prezenčnej listine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</w:t>
      </w:r>
      <w:r>
        <w:rPr>
          <w:rFonts w:ascii="Times New Roman" w:eastAsia="Times New Roman" w:hAnsi="Times New Roman" w:cs="Times New Roman"/>
          <w:color w:val="000000"/>
        </w:rPr>
        <w:t>u Meno koordinátora pedagogického klubu – uvedie sa celé meno a priezvisko koordinátora klubu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správa zverejnená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</w:t>
      </w:r>
      <w:r>
        <w:rPr>
          <w:rFonts w:ascii="Times New Roman" w:eastAsia="Times New Roman" w:hAnsi="Times New Roman" w:cs="Times New Roman"/>
          <w:color w:val="000000"/>
        </w:rPr>
        <w:t>účové slová a stručné zhrnutie stretnutia klubu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Zá</w:t>
      </w:r>
      <w:r>
        <w:rPr>
          <w:rFonts w:ascii="Times New Roman" w:eastAsia="Times New Roman" w:hAnsi="Times New Roman" w:cs="Times New Roman"/>
          <w:color w:val="000000"/>
        </w:rPr>
        <w:t xml:space="preserve">very o odporúčania –  uvedú sa závery a odporúčania k témam, ktoré boli predmetom stretnutia 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</w:t>
      </w:r>
      <w:r>
        <w:rPr>
          <w:rFonts w:ascii="Times New Roman" w:eastAsia="Times New Roman" w:hAnsi="Times New Roman" w:cs="Times New Roman"/>
          <w:color w:val="000000"/>
        </w:rPr>
        <w:t>i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427895" w:rsidRDefault="00AD452A" w:rsidP="00AD4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d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427895">
        <w:tc>
          <w:tcPr>
            <w:tcW w:w="3528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427895">
        <w:tc>
          <w:tcPr>
            <w:tcW w:w="3528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427895">
        <w:tc>
          <w:tcPr>
            <w:tcW w:w="3528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427895">
        <w:tc>
          <w:tcPr>
            <w:tcW w:w="3528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427895">
        <w:tc>
          <w:tcPr>
            <w:tcW w:w="3528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427895">
        <w:tc>
          <w:tcPr>
            <w:tcW w:w="3528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INKLUKLUB</w:t>
            </w:r>
          </w:p>
        </w:tc>
      </w:tr>
    </w:tbl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427895" w:rsidRDefault="00AD452A" w:rsidP="00AD452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5.5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       Trvanie stretnutia: od 7.30 hod</w:t>
      </w:r>
      <w:r>
        <w:rPr>
          <w:rFonts w:ascii="Times New Roman" w:eastAsia="Times New Roman" w:hAnsi="Times New Roman" w:cs="Times New Roman"/>
          <w:color w:val="000000"/>
        </w:rPr>
        <w:tab/>
        <w:t>do 10. 30 hod.</w:t>
      </w: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27895">
        <w:trPr>
          <w:trHeight w:val="337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427895">
        <w:trPr>
          <w:trHeight w:val="337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Kundláková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37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37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Linda Chudá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37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Jana Tobolová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55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Jana Karasová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55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Ľubica Marcinčinová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55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 Turčanová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427895">
        <w:trPr>
          <w:trHeight w:val="355"/>
        </w:trPr>
        <w:tc>
          <w:tcPr>
            <w:tcW w:w="544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Soňa Hajtmanová</w:t>
            </w:r>
          </w:p>
        </w:tc>
        <w:tc>
          <w:tcPr>
            <w:tcW w:w="2427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p w:rsidR="00427895" w:rsidRDefault="00AD452A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427895">
        <w:trPr>
          <w:trHeight w:val="337"/>
        </w:trPr>
        <w:tc>
          <w:tcPr>
            <w:tcW w:w="61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427895">
        <w:trPr>
          <w:trHeight w:val="337"/>
        </w:trPr>
        <w:tc>
          <w:tcPr>
            <w:tcW w:w="61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7895">
        <w:trPr>
          <w:trHeight w:val="337"/>
        </w:trPr>
        <w:tc>
          <w:tcPr>
            <w:tcW w:w="61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7895">
        <w:trPr>
          <w:trHeight w:val="355"/>
        </w:trPr>
        <w:tc>
          <w:tcPr>
            <w:tcW w:w="610" w:type="dxa"/>
          </w:tcPr>
          <w:p w:rsidR="00427895" w:rsidRDefault="00AD452A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27895" w:rsidRDefault="00427895" w:rsidP="00AD4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27895" w:rsidRDefault="00427895" w:rsidP="00AD45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27895" w:rsidRDefault="00427895" w:rsidP="00427895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42789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842"/>
    <w:multiLevelType w:val="multilevel"/>
    <w:tmpl w:val="327E9B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66E71DC"/>
    <w:multiLevelType w:val="multilevel"/>
    <w:tmpl w:val="C0DE77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2CE522D"/>
    <w:multiLevelType w:val="multilevel"/>
    <w:tmpl w:val="8974AF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64C23F4C"/>
    <w:multiLevelType w:val="multilevel"/>
    <w:tmpl w:val="F5EAAC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7895"/>
    <w:rsid w:val="00427895"/>
    <w:rsid w:val="00A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5XfPC2p3tm1ZxqjVcjnJDIOzg==">AMUW2mUW2aPtQIQL6ivlDi+rCq3MMvTkrwifYwdkieIMgfPA9s0x3iy3gB1EYntyTQNEPBMSS2RJBlILhtBQTLe9gJHE1BKPGMryfvcp/Mbu8drPBcTT+6A=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2</cp:revision>
  <dcterms:created xsi:type="dcterms:W3CDTF">2021-05-19T06:30:00Z</dcterms:created>
  <dcterms:modified xsi:type="dcterms:W3CDTF">2021-05-19T06:30:00Z</dcterms:modified>
</cp:coreProperties>
</file>